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  <w:jc w:val="center"/>
      </w:pPr>
      <w:r>
        <w:rPr>
          <w:sz w:val="28"/>
          <w:szCs w:val="28"/>
          <w:b w:val="1"/>
          <w:bCs w:val="1"/>
        </w:rPr>
        <w:t xml:space="preserve">План работы классного руководителя</w:t>
      </w:r>
    </w:p>
    <w:p>
      <w:pPr/>
      <w:r>
        <w:rPr/>
        <w:t xml:space="preserve">Классный руководитель: ____________</w:t>
      </w:r>
    </w:p>
    <w:p>
      <w:pPr/>
      <w:r>
        <w:rPr/>
        <w:t xml:space="preserve">Класс: ____________   Учебный год: ____________</w:t>
      </w:r>
    </w:p>
    <w:tbl>
      <w:tblGrid>
        <w:gridCol w:w="5000" w:type="dxa"/>
        <w:gridCol w:w="5000" w:type="dxa"/>
        <w:gridCol w:w="5000" w:type="dxa"/>
        <w:gridCol w:w="5000" w:type="dxa"/>
      </w:tblGrid>
      <w:tblPr>
        <w:tblW w:w="5000" w:type="pct"/>
        <w:tblLayout w:type="autofit"/>
        <w:tblBorders>
          <w:top w:val="single" w:sz="15"/>
          <w:left w:val="single" w:sz="15"/>
          <w:right w:val="single" w:sz="15"/>
          <w:bottom w:val="single" w:sz="15"/>
          <w:insideH w:val="single" w:sz="15"/>
          <w:insideV w:val="single" w:sz="15"/>
        </w:tblBorders>
      </w:tblPr>
      <w:tr>
        <w:trPr>
          <w:tblHeader w:val="1"/>
        </w:trPr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№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Мероприятия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Сроки выполнения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Форма завершения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1.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Составление и реализация плана воспитательной работы класса (форма плана воспитательной работы определяется методическим объединением классных руководителей)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В течение учебного года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План, материалы мероприятий, анализ воспитательной работы (в бумажном или электронном формате)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2.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Формирование социального паспорта класса по утвержденной руководителем организации образования форме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Сентябрь-октябрь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Социальный паспорт (заполняется в электронном формате в ЦС НОБД)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3.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Работа с родителями или другими законными представителями ребенка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По мере необходимости в течение учебного года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Протоколы родительских собраний (в бумажном или электронном формате)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4.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Ведение классного журнала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Постоянно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Классный журнал (в бумажном или электронном формате)</w:t>
            </w:r>
          </w:p>
        </w:tc>
      </w:tr>
    </w:tbl>
    <w:sectPr>
      <w:footerReference w:type="default" r:id="rId7"/>
      <w:pgSz w:orient="portrait" w:w="11905.511811023622" w:h="16837.79527559055"/>
      <w:pgMar w:top="850" w:right="850" w:bottom="85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Times New Roman" w:hAnsi="Times New Roman" w:eastAsia="Times New Roman" w:cs="Times New Roman"/>
        <w:color w:val="8A8A8A"/>
        <w:sz w:val="18"/>
        <w:szCs w:val="18"/>
      </w:rPr>
      <w:t xml:space="preserve">Бланк по форме приложения 4 к приказу № 130 в редакции приказа № 194-НҚ. telly.kz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spacing w:after="80" w:line="264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Telly</dc:creator>
  <dc:title>План работы классного руководителя — бланк по приказу № 130</dc:title>
  <dc:description/>
  <dc:subject/>
  <cp:keywords/>
  <cp:category/>
  <cp:lastModifiedBy>Telly</cp:lastModifiedBy>
  <dcterms:created xsi:type="dcterms:W3CDTF">2026-10-03T07:03:06+00:00</dcterms:created>
  <dcterms:modified xsi:type="dcterms:W3CDTF">2026-10-03T07:03:06+00:00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