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Среднесрочный (календарно-тематический) план по предметам</w:t>
      </w:r>
    </w:p>
    <w:p>
      <w:pPr/>
      <w:r>
        <w:rPr/>
        <w:t xml:space="preserve">____________ дисциплина ____________ класс</w:t>
      </w:r>
    </w:p>
    <w:p>
      <w:pPr/>
      <w:r>
        <w:rPr/>
        <w:t xml:space="preserve">Итого: ____________ часов, в неделю: ____________ часов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№ п/п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Раздел/Сквозные темы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Тема урока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Цели обучения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Количество часов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Сроки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Примечание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I четверть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II четверть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III четверть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IV четверть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sectPr>
      <w:footerReference w:type="default" r:id="rId7"/>
      <w:pgSz w:orient="landscape" w:w="16837.79527559055" w:h="11905.511811023622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Бланк по форме приложения 4 к приказу № 130. Генератор КТП —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Среднесрочный (календарно-тематический) план — бланк по приказу № 130</dc:title>
  <dc:description/>
  <dc:subject/>
  <cp:keywords/>
  <cp:category/>
  <cp:lastModifiedBy>Telly</cp:lastModifiedBy>
  <dcterms:created xsi:type="dcterms:W3CDTF">2026-10-03T07:03:06+00:00</dcterms:created>
  <dcterms:modified xsi:type="dcterms:W3CDTF">2026-10-03T07:03:06+00:00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